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 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«Я - ПЕТЕРБУРЖЕЦ!»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 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_________месяцев.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групповая</w:t>
      </w:r>
      <w:r w:rsidDel="00000000" w:rsidR="00000000" w:rsidRPr="00000000">
        <w:rPr>
          <w:sz w:val="20"/>
          <w:szCs w:val="20"/>
          <w:rtl w:val="0"/>
        </w:rPr>
        <w:t xml:space="preserve">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_____(______________) месяцев.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9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                          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____________________________________________________________________________рублей за _ занятия. </w:t>
      </w:r>
      <w:r w:rsidDel="00000000" w:rsidR="00000000" w:rsidRPr="00000000">
        <w:rPr>
          <w:sz w:val="20"/>
          <w:szCs w:val="20"/>
          <w:rtl w:val="0"/>
        </w:rPr>
        <w:t xml:space="preserve">Количество занятий -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2 раза в неделю.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180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после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0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4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7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8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до 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3F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0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7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8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9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92BC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Dy0C9IKd8MWmSegcMW9xAvUZmA==">CgMxLjA4AHIhMS1iM3BHaHVuSHdiZDhBMWhvWFVBY2IzR0Fwazl3U2Vr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2021-08-26T14:21:00Z</dcterms:created>
  <dc:creator>Пользователь</dc:creator>
</cp:coreProperties>
</file>