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«Малютка»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_____ (_______________)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B">
      <w:pPr>
        <w:spacing w:line="36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 рублей за ________ занятий. 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занятий -</w:t>
      </w:r>
      <w:r w:rsidDel="00000000" w:rsidR="00000000" w:rsidRPr="00000000">
        <w:rPr>
          <w:b w:val="1"/>
          <w:sz w:val="20"/>
          <w:szCs w:val="20"/>
          <w:rtl w:val="0"/>
        </w:rPr>
        <w:t xml:space="preserve">  _______ раз(а) в неделю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700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4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нем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4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41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3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4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D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7D632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7D632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7D632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7D6323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7D632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7D632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7D6323"/>
  </w:style>
  <w:style w:type="table" w:styleId="TableNormal" w:customStyle="1">
    <w:name w:val="Table Normal"/>
    <w:rsid w:val="007D632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7D632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"/>
    <w:next w:val="normal"/>
    <w:rsid w:val="007D632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7D6323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YEwUFNSFOeKel//nN/8JZyNug==">CgMxLjA4AHIhMVlmUlpzOTRZYm1hWTd6OXFQNGxMSjBoLVcxLVBpN3BT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2021-09-21T12:50:00Z</dcterms:created>
  <dc:creator>Пользователь</dc:creator>
</cp:coreProperties>
</file>