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 ОКАЗАНИЕ ДОПОЛНИТЕЛЬНЫХ ПЛАТНЫХ ОБРАЗОВАТЕЛЬНЫе2</w:t>
        <w:tab/>
        <w:t xml:space="preserve">2Х УСЛУГ </w:t>
      </w:r>
    </w:p>
    <w:p w:rsidR="00000000" w:rsidDel="00000000" w:rsidP="00000000" w:rsidRDefault="00000000" w:rsidRPr="00000000" w14:paraId="0000000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________________________________________________________________________________________________________________, </w:t>
      </w:r>
    </w:p>
    <w:p w:rsidR="00000000" w:rsidDel="00000000" w:rsidP="00000000" w:rsidRDefault="00000000" w:rsidRPr="00000000" w14:paraId="00000009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«СОВРЕМЕННЫЕ ТАНЦЫ»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 месяцев.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2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3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0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____________________________________________________________________________ рублей за 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320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2F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6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E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3F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6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7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5.1968503937008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D11B0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D11B0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D11B0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D11B0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D11B0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D11B0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D11B04"/>
  </w:style>
  <w:style w:type="table" w:styleId="TableNormal" w:customStyle="1">
    <w:name w:val="Table Normal"/>
    <w:rsid w:val="00D11B0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11B0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D11B0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D11B0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oqAKUIssINA/s6mqzThZjA4BQ==">CgMxLjA4AHIhMUtBcVZOLUY4VWpYNGxWbnhFVzhfYnNFTlJzNDJLSTct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2021-06-30T10:37:00Z</dcterms:created>
  <dc:creator>Пользователь</dc:creator>
</cp:coreProperties>
</file>